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E9" w:rsidRDefault="00935AE9" w:rsidP="00935AE9">
      <w:pPr>
        <w:shd w:val="clear" w:color="auto" w:fill="FFFFFF"/>
        <w:snapToGrid w:val="0"/>
        <w:spacing w:before="120"/>
        <w:rPr>
          <w:rFonts w:ascii="Arial" w:hAnsi="Arial" w:cs="Arial"/>
          <w:b/>
          <w:i/>
          <w:sz w:val="22"/>
          <w:szCs w:val="22"/>
        </w:rPr>
      </w:pPr>
      <w:r w:rsidRPr="00935AE9">
        <w:rPr>
          <w:rFonts w:ascii="Arial" w:hAnsi="Arial" w:cs="Arial"/>
          <w:b/>
          <w:i/>
          <w:sz w:val="22"/>
          <w:szCs w:val="22"/>
        </w:rPr>
        <w:t>Modeling variation in the reproductive lifespan of female adolescent and young adult cancer survivors using AMH</w:t>
      </w:r>
    </w:p>
    <w:p w:rsidR="00935AE9" w:rsidRPr="00935AE9" w:rsidRDefault="00935AE9" w:rsidP="00935AE9">
      <w:pPr>
        <w:shd w:val="clear" w:color="auto" w:fill="FFFFFF"/>
        <w:snapToGrid w:val="0"/>
        <w:spacing w:before="120"/>
        <w:rPr>
          <w:rFonts w:ascii="Arial" w:hAnsi="Arial" w:cs="Arial"/>
          <w:i/>
          <w:sz w:val="22"/>
          <w:szCs w:val="22"/>
        </w:rPr>
      </w:pPr>
      <w:r w:rsidRPr="00935AE9">
        <w:rPr>
          <w:rFonts w:ascii="Arial" w:hAnsi="Arial" w:cs="Arial"/>
          <w:i/>
          <w:sz w:val="22"/>
          <w:szCs w:val="22"/>
        </w:rPr>
        <w:t xml:space="preserve">Su, HI, et al. </w:t>
      </w:r>
    </w:p>
    <w:p w:rsidR="00935AE9" w:rsidRDefault="00935AE9" w:rsidP="00935AE9">
      <w:pPr>
        <w:shd w:val="clear" w:color="auto" w:fill="FFFFFF"/>
        <w:snapToGrid w:val="0"/>
        <w:spacing w:before="120"/>
        <w:rPr>
          <w:rFonts w:ascii="Arial" w:hAnsi="Arial" w:cs="Arial"/>
          <w:i/>
          <w:sz w:val="22"/>
          <w:szCs w:val="22"/>
        </w:rPr>
      </w:pPr>
      <w:r>
        <w:rPr>
          <w:rFonts w:ascii="Arial" w:hAnsi="Arial" w:cs="Arial"/>
          <w:i/>
          <w:sz w:val="22"/>
          <w:szCs w:val="22"/>
        </w:rPr>
        <w:t>Supplemental Figure Legends</w:t>
      </w:r>
    </w:p>
    <w:p w:rsidR="00935AE9" w:rsidRDefault="00935AE9" w:rsidP="00935AE9">
      <w:pPr>
        <w:shd w:val="clear" w:color="auto" w:fill="FFFFFF"/>
        <w:snapToGrid w:val="0"/>
        <w:spacing w:before="120"/>
        <w:rPr>
          <w:rFonts w:ascii="Arial" w:hAnsi="Arial" w:cs="Arial"/>
          <w:i/>
          <w:sz w:val="22"/>
          <w:szCs w:val="22"/>
        </w:rPr>
      </w:pPr>
      <w:r>
        <w:rPr>
          <w:rFonts w:ascii="Arial" w:hAnsi="Arial" w:cs="Arial"/>
          <w:i/>
          <w:sz w:val="22"/>
          <w:szCs w:val="22"/>
        </w:rPr>
        <w:t>Supplemental Figu</w:t>
      </w:r>
      <w:bookmarkStart w:id="0" w:name="_GoBack"/>
      <w:bookmarkEnd w:id="0"/>
      <w:r>
        <w:rPr>
          <w:rFonts w:ascii="Arial" w:hAnsi="Arial" w:cs="Arial"/>
          <w:i/>
          <w:sz w:val="22"/>
          <w:szCs w:val="22"/>
        </w:rPr>
        <w:t xml:space="preserve">re 1: Sensitivity analysis modeling AMH trajectories in </w:t>
      </w:r>
      <w:r w:rsidRPr="00FE7B4B">
        <w:rPr>
          <w:rFonts w:ascii="Arial" w:hAnsi="Arial" w:cs="Arial"/>
          <w:i/>
          <w:color w:val="201F1E"/>
          <w:sz w:val="22"/>
          <w:szCs w:val="22"/>
        </w:rPr>
        <w:t xml:space="preserve">the subset of </w:t>
      </w:r>
      <w:r w:rsidRPr="00FE7B4B">
        <w:rPr>
          <w:rFonts w:ascii="Arial" w:hAnsi="Arial" w:cs="Arial"/>
          <w:i/>
          <w:color w:val="201F1E"/>
          <w:sz w:val="22"/>
          <w:szCs w:val="22"/>
        </w:rPr>
        <w:softHyphen/>
      </w:r>
      <w:r w:rsidRPr="00FE7B4B">
        <w:rPr>
          <w:rFonts w:ascii="Arial" w:hAnsi="Arial" w:cs="Arial"/>
          <w:i/>
          <w:color w:val="201F1E"/>
          <w:sz w:val="22"/>
          <w:szCs w:val="22"/>
        </w:rPr>
        <w:softHyphen/>
      </w:r>
      <w:r w:rsidRPr="00FE7B4B">
        <w:rPr>
          <w:rFonts w:ascii="Arial" w:hAnsi="Arial" w:cs="Arial"/>
          <w:i/>
          <w:color w:val="201F1E"/>
          <w:sz w:val="22"/>
          <w:szCs w:val="22"/>
        </w:rPr>
        <w:softHyphen/>
        <w:t>513 participants who were not on hormonal contraception, GnRH agonist, or tamoxifen</w:t>
      </w:r>
      <w:r>
        <w:rPr>
          <w:rFonts w:ascii="Arial" w:hAnsi="Arial" w:cs="Arial"/>
          <w:i/>
          <w:color w:val="201F1E"/>
          <w:sz w:val="22"/>
          <w:szCs w:val="22"/>
        </w:rPr>
        <w:t xml:space="preserve">. </w:t>
      </w:r>
      <w:r w:rsidRPr="00B470CA">
        <w:rPr>
          <w:rFonts w:ascii="Arial" w:hAnsi="Arial" w:cs="Arial"/>
          <w:i/>
          <w:color w:val="201F1E"/>
          <w:sz w:val="22"/>
          <w:szCs w:val="22"/>
        </w:rPr>
        <w:t xml:space="preserve">By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predicted mean log-transformed AMH trajectories over years since cancer treatment (bold lines with green for low, blue for moderate, red for high). Mean curves are truncated when the number of individual participants remaining in the group is fewer than 10. Individual log-transformed AMH levels (+) and predicted trajectories (short lines related to +) also are depicted by the color of the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(green for low, blue for moderate, red for high).</w:t>
      </w:r>
    </w:p>
    <w:p w:rsidR="00935AE9" w:rsidRDefault="00935AE9" w:rsidP="00935AE9">
      <w:pPr>
        <w:shd w:val="clear" w:color="auto" w:fill="FFFFFF"/>
        <w:snapToGrid w:val="0"/>
        <w:spacing w:before="120"/>
        <w:rPr>
          <w:rFonts w:ascii="Arial" w:hAnsi="Arial" w:cs="Arial"/>
          <w:i/>
          <w:color w:val="201F1E"/>
          <w:sz w:val="22"/>
          <w:szCs w:val="22"/>
        </w:rPr>
      </w:pPr>
      <w:r>
        <w:rPr>
          <w:rFonts w:ascii="Arial" w:hAnsi="Arial" w:cs="Arial"/>
          <w:i/>
          <w:color w:val="201F1E"/>
          <w:sz w:val="22"/>
          <w:szCs w:val="22"/>
        </w:rPr>
        <w:t xml:space="preserve">Supplemental Figure 2: </w:t>
      </w:r>
      <w:r w:rsidRPr="00B470CA">
        <w:rPr>
          <w:rFonts w:ascii="Arial" w:hAnsi="Arial" w:cs="Arial"/>
          <w:i/>
          <w:color w:val="201F1E"/>
          <w:sz w:val="22"/>
          <w:szCs w:val="22"/>
        </w:rPr>
        <w:t>Sensitivity analysis modeling AMH trajectories</w:t>
      </w:r>
      <w:r>
        <w:rPr>
          <w:rFonts w:ascii="Arial" w:hAnsi="Arial" w:cs="Arial"/>
          <w:i/>
          <w:color w:val="201F1E"/>
          <w:sz w:val="22"/>
          <w:szCs w:val="22"/>
        </w:rPr>
        <w:t xml:space="preserve"> in the subset of 503 participants who contributed more than one sample. </w:t>
      </w:r>
      <w:r w:rsidRPr="00B470CA">
        <w:rPr>
          <w:rFonts w:ascii="Arial" w:hAnsi="Arial" w:cs="Arial"/>
          <w:i/>
          <w:color w:val="201F1E"/>
          <w:sz w:val="22"/>
          <w:szCs w:val="22"/>
        </w:rPr>
        <w:t xml:space="preserve">By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predicted mean log-transformed AMH trajectories over years since cancer treatment (bold lines with green for low, blue for moderate, red for high). Mean curves are truncated when the number of individual participants remaining in the group is fewer than 10. Individual log-transformed AMH levels (+) and predicted trajectories (short lines related to +) also are depicted by the color of the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(green for low, blue for moderate, red for high).</w:t>
      </w:r>
    </w:p>
    <w:p w:rsidR="00935AE9" w:rsidRPr="00F2440F" w:rsidRDefault="00935AE9" w:rsidP="00935AE9">
      <w:pPr>
        <w:shd w:val="clear" w:color="auto" w:fill="FFFFFF"/>
        <w:snapToGrid w:val="0"/>
        <w:spacing w:before="120"/>
        <w:rPr>
          <w:rFonts w:ascii="Arial" w:hAnsi="Arial" w:cs="Arial"/>
          <w:i/>
          <w:color w:val="201F1E"/>
          <w:sz w:val="22"/>
          <w:szCs w:val="22"/>
        </w:rPr>
      </w:pPr>
      <w:r>
        <w:rPr>
          <w:rFonts w:ascii="Arial" w:hAnsi="Arial" w:cs="Arial"/>
          <w:i/>
          <w:color w:val="201F1E"/>
          <w:sz w:val="22"/>
          <w:szCs w:val="22"/>
        </w:rPr>
        <w:t xml:space="preserve">Supplemental Figure 3: </w:t>
      </w:r>
      <w:r>
        <w:rPr>
          <w:rFonts w:ascii="Arial" w:hAnsi="Arial" w:cs="Arial"/>
          <w:i/>
          <w:sz w:val="22"/>
          <w:szCs w:val="22"/>
        </w:rPr>
        <w:t xml:space="preserve">Sensitivity analysis modeling AMH trajectories excluding participants ages 18 to 24 at AMH measurement. </w:t>
      </w:r>
      <w:r w:rsidRPr="00B470CA">
        <w:rPr>
          <w:rFonts w:ascii="Arial" w:hAnsi="Arial" w:cs="Arial"/>
          <w:i/>
          <w:color w:val="201F1E"/>
          <w:sz w:val="22"/>
          <w:szCs w:val="22"/>
        </w:rPr>
        <w:t xml:space="preserve">By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predicted mean log-transformed AMH trajectories over years since cancer treatment (bold lines with green for low, blue for moderate, red for high). Mean curves are truncated when the number of individual participants remaining in the group is fewer than 10. Individual log-transformed AMH levels (+) and predicted trajectories (short lines related to +) also are depicted by the color of the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(green for low, blue for moderate, red for high).</w:t>
      </w:r>
    </w:p>
    <w:p w:rsidR="00935AE9" w:rsidRPr="00F2440F" w:rsidRDefault="00935AE9" w:rsidP="00935AE9">
      <w:pPr>
        <w:shd w:val="clear" w:color="auto" w:fill="FFFFFF"/>
        <w:snapToGrid w:val="0"/>
        <w:spacing w:before="120"/>
        <w:rPr>
          <w:rFonts w:ascii="Arial" w:hAnsi="Arial" w:cs="Arial"/>
          <w:i/>
          <w:sz w:val="22"/>
          <w:szCs w:val="22"/>
        </w:rPr>
      </w:pPr>
      <w:r>
        <w:rPr>
          <w:rFonts w:ascii="Arial" w:hAnsi="Arial" w:cs="Arial"/>
          <w:i/>
          <w:sz w:val="22"/>
          <w:szCs w:val="22"/>
        </w:rPr>
        <w:t xml:space="preserve">Supplemental Figure 4: Sensitivity analysis modeling AMH trajectories by age at AMH measurement. </w:t>
      </w:r>
      <w:r w:rsidRPr="00F2440F">
        <w:rPr>
          <w:rFonts w:ascii="Arial" w:hAnsi="Arial" w:cs="Arial"/>
          <w:i/>
          <w:sz w:val="22"/>
          <w:szCs w:val="22"/>
        </w:rPr>
        <w:t xml:space="preserve">By </w:t>
      </w:r>
      <w:proofErr w:type="spellStart"/>
      <w:r w:rsidRPr="00F2440F">
        <w:rPr>
          <w:rFonts w:ascii="Arial" w:hAnsi="Arial" w:cs="Arial"/>
          <w:i/>
          <w:sz w:val="22"/>
          <w:szCs w:val="22"/>
        </w:rPr>
        <w:t>gonadotoxicity</w:t>
      </w:r>
      <w:proofErr w:type="spellEnd"/>
      <w:r w:rsidRPr="00F2440F">
        <w:rPr>
          <w:rFonts w:ascii="Arial" w:hAnsi="Arial" w:cs="Arial"/>
          <w:i/>
          <w:sz w:val="22"/>
          <w:szCs w:val="22"/>
        </w:rPr>
        <w:t xml:space="preserve"> group, predicted mean log-transformed AMH trajectories over age at AMH measurement (bold lines with green for low, blue for moderate, red for high). Mean curves are truncated when the number of individual participants remaining in the group is fewer than 10. Individual log-transformed AMH levels (+) and predicted trajectories (short lines related to +) also are depicted by the color of the </w:t>
      </w:r>
      <w:proofErr w:type="spellStart"/>
      <w:r w:rsidRPr="00F2440F">
        <w:rPr>
          <w:rFonts w:ascii="Arial" w:hAnsi="Arial" w:cs="Arial"/>
          <w:i/>
          <w:sz w:val="22"/>
          <w:szCs w:val="22"/>
        </w:rPr>
        <w:t>gonadotoxicity</w:t>
      </w:r>
      <w:proofErr w:type="spellEnd"/>
      <w:r w:rsidRPr="00F2440F">
        <w:rPr>
          <w:rFonts w:ascii="Arial" w:hAnsi="Arial" w:cs="Arial"/>
          <w:i/>
          <w:sz w:val="22"/>
          <w:szCs w:val="22"/>
        </w:rPr>
        <w:t xml:space="preserve"> group (green for low, blue for moderate, red for high).</w:t>
      </w:r>
    </w:p>
    <w:p w:rsidR="00935AE9" w:rsidRDefault="00935AE9" w:rsidP="00935AE9">
      <w:pPr>
        <w:shd w:val="clear" w:color="auto" w:fill="FFFFFF"/>
        <w:snapToGrid w:val="0"/>
        <w:spacing w:before="120"/>
        <w:rPr>
          <w:rFonts w:ascii="Arial" w:hAnsi="Arial" w:cs="Arial"/>
          <w:i/>
          <w:color w:val="201F1E"/>
          <w:sz w:val="22"/>
          <w:szCs w:val="22"/>
        </w:rPr>
      </w:pPr>
      <w:r>
        <w:rPr>
          <w:rFonts w:ascii="Arial" w:hAnsi="Arial" w:cs="Arial"/>
          <w:i/>
          <w:sz w:val="22"/>
          <w:szCs w:val="22"/>
        </w:rPr>
        <w:t xml:space="preserve">Supplemental Figure 5: Analysis modeling dried blood spot </w:t>
      </w:r>
      <w:r w:rsidRPr="00FE7B4B">
        <w:rPr>
          <w:rFonts w:ascii="Arial" w:hAnsi="Arial" w:cs="Arial"/>
          <w:i/>
          <w:color w:val="201F1E"/>
          <w:sz w:val="22"/>
          <w:szCs w:val="22"/>
        </w:rPr>
        <w:t xml:space="preserve">FSH data from </w:t>
      </w:r>
      <w:r>
        <w:rPr>
          <w:rFonts w:ascii="Arial" w:hAnsi="Arial" w:cs="Arial"/>
          <w:i/>
          <w:color w:val="201F1E"/>
          <w:sz w:val="22"/>
          <w:szCs w:val="22"/>
        </w:rPr>
        <w:t xml:space="preserve">495 </w:t>
      </w:r>
      <w:r w:rsidRPr="00FE7B4B">
        <w:rPr>
          <w:rFonts w:ascii="Arial" w:hAnsi="Arial" w:cs="Arial"/>
          <w:i/>
          <w:color w:val="201F1E"/>
          <w:sz w:val="22"/>
          <w:szCs w:val="22"/>
        </w:rPr>
        <w:t>participants who were not on hormonal birth control, GnRH agonists, tamoxifen and menopausal hormone therapy</w:t>
      </w:r>
      <w:r>
        <w:rPr>
          <w:rFonts w:ascii="Arial" w:hAnsi="Arial" w:cs="Arial"/>
          <w:i/>
          <w:color w:val="201F1E"/>
          <w:sz w:val="22"/>
          <w:szCs w:val="22"/>
        </w:rPr>
        <w:t>.</w:t>
      </w:r>
      <w:r w:rsidRPr="00B470CA">
        <w:rPr>
          <w:rFonts w:ascii="Arial" w:hAnsi="Arial" w:cs="Arial"/>
          <w:i/>
          <w:color w:val="201F1E"/>
          <w:sz w:val="22"/>
          <w:szCs w:val="22"/>
        </w:rPr>
        <w:t xml:space="preserve"> By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predicted mean log-transformed </w:t>
      </w:r>
      <w:r>
        <w:rPr>
          <w:rFonts w:ascii="Arial" w:hAnsi="Arial" w:cs="Arial"/>
          <w:i/>
          <w:color w:val="201F1E"/>
          <w:sz w:val="22"/>
          <w:szCs w:val="22"/>
        </w:rPr>
        <w:t>FSH</w:t>
      </w:r>
      <w:r w:rsidRPr="00B470CA">
        <w:rPr>
          <w:rFonts w:ascii="Arial" w:hAnsi="Arial" w:cs="Arial"/>
          <w:i/>
          <w:color w:val="201F1E"/>
          <w:sz w:val="22"/>
          <w:szCs w:val="22"/>
        </w:rPr>
        <w:t xml:space="preserve"> trajectories over years since cancer treatment (bold lines with green for low, blue for moderate, red for high). Mean curves are truncated when the number of individual participants remaining in the group is fewer than 10. Individual log-transformed </w:t>
      </w:r>
      <w:r>
        <w:rPr>
          <w:rFonts w:ascii="Arial" w:hAnsi="Arial" w:cs="Arial"/>
          <w:i/>
          <w:color w:val="201F1E"/>
          <w:sz w:val="22"/>
          <w:szCs w:val="22"/>
        </w:rPr>
        <w:t>FSH</w:t>
      </w:r>
      <w:r w:rsidRPr="00B470CA">
        <w:rPr>
          <w:rFonts w:ascii="Arial" w:hAnsi="Arial" w:cs="Arial"/>
          <w:i/>
          <w:color w:val="201F1E"/>
          <w:sz w:val="22"/>
          <w:szCs w:val="22"/>
        </w:rPr>
        <w:t xml:space="preserve"> levels (+) and predicted trajectories (short lines related to +) also are depicted by the color of the </w:t>
      </w:r>
      <w:proofErr w:type="spellStart"/>
      <w:r w:rsidRPr="00B470CA">
        <w:rPr>
          <w:rFonts w:ascii="Arial" w:hAnsi="Arial" w:cs="Arial"/>
          <w:i/>
          <w:color w:val="201F1E"/>
          <w:sz w:val="22"/>
          <w:szCs w:val="22"/>
        </w:rPr>
        <w:t>gonadotoxicity</w:t>
      </w:r>
      <w:proofErr w:type="spellEnd"/>
      <w:r w:rsidRPr="00B470CA">
        <w:rPr>
          <w:rFonts w:ascii="Arial" w:hAnsi="Arial" w:cs="Arial"/>
          <w:i/>
          <w:color w:val="201F1E"/>
          <w:sz w:val="22"/>
          <w:szCs w:val="22"/>
        </w:rPr>
        <w:t xml:space="preserve"> group (green for low, blue for moderate, red for high).</w:t>
      </w:r>
    </w:p>
    <w:p w:rsidR="009A7A41" w:rsidRDefault="009A7A41"/>
    <w:sectPr w:rsidR="009A7A41" w:rsidSect="0080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E9"/>
    <w:rsid w:val="00143BF3"/>
    <w:rsid w:val="00151741"/>
    <w:rsid w:val="001713A9"/>
    <w:rsid w:val="001852AC"/>
    <w:rsid w:val="001B1E29"/>
    <w:rsid w:val="001E1D28"/>
    <w:rsid w:val="001F2C78"/>
    <w:rsid w:val="002D235B"/>
    <w:rsid w:val="002E59D2"/>
    <w:rsid w:val="00337AC2"/>
    <w:rsid w:val="00470E30"/>
    <w:rsid w:val="00474E33"/>
    <w:rsid w:val="004E4A81"/>
    <w:rsid w:val="005D6F52"/>
    <w:rsid w:val="005F6195"/>
    <w:rsid w:val="00613E2A"/>
    <w:rsid w:val="006414E9"/>
    <w:rsid w:val="00647759"/>
    <w:rsid w:val="00675A24"/>
    <w:rsid w:val="0069417B"/>
    <w:rsid w:val="00720454"/>
    <w:rsid w:val="007868A5"/>
    <w:rsid w:val="0078732F"/>
    <w:rsid w:val="007C24A4"/>
    <w:rsid w:val="007F1FD7"/>
    <w:rsid w:val="008003F4"/>
    <w:rsid w:val="0086528F"/>
    <w:rsid w:val="0088002C"/>
    <w:rsid w:val="008B62AC"/>
    <w:rsid w:val="00935AE9"/>
    <w:rsid w:val="009665A7"/>
    <w:rsid w:val="009A7A41"/>
    <w:rsid w:val="009F3D63"/>
    <w:rsid w:val="00A45C5D"/>
    <w:rsid w:val="00A53462"/>
    <w:rsid w:val="00A57CE5"/>
    <w:rsid w:val="00AE0BD0"/>
    <w:rsid w:val="00AF20B2"/>
    <w:rsid w:val="00B23784"/>
    <w:rsid w:val="00BB303F"/>
    <w:rsid w:val="00C84AF2"/>
    <w:rsid w:val="00D147D8"/>
    <w:rsid w:val="00D32526"/>
    <w:rsid w:val="00D65C38"/>
    <w:rsid w:val="00D936D8"/>
    <w:rsid w:val="00DF6D73"/>
    <w:rsid w:val="00E40DB6"/>
    <w:rsid w:val="00E44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AC5F"/>
  <w15:chartTrackingRefBased/>
  <w15:docId w15:val="{52FA4E97-FCA4-AC4C-B1E5-7EA812A8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E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F4"/>
    <w:rPr>
      <w:sz w:val="18"/>
      <w:szCs w:val="18"/>
    </w:rPr>
  </w:style>
  <w:style w:type="character" w:customStyle="1" w:styleId="BalloonTextChar">
    <w:name w:val="Balloon Text Char"/>
    <w:basedOn w:val="DefaultParagraphFont"/>
    <w:link w:val="BalloonText"/>
    <w:uiPriority w:val="99"/>
    <w:semiHidden/>
    <w:rsid w:val="008003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5AE9"/>
    <w:rPr>
      <w:sz w:val="16"/>
      <w:szCs w:val="16"/>
    </w:rPr>
  </w:style>
  <w:style w:type="paragraph" w:styleId="CommentText">
    <w:name w:val="annotation text"/>
    <w:basedOn w:val="Normal"/>
    <w:link w:val="CommentTextChar"/>
    <w:uiPriority w:val="99"/>
    <w:unhideWhenUsed/>
    <w:rsid w:val="00935AE9"/>
    <w:rPr>
      <w:sz w:val="20"/>
      <w:szCs w:val="20"/>
    </w:rPr>
  </w:style>
  <w:style w:type="character" w:customStyle="1" w:styleId="CommentTextChar">
    <w:name w:val="Comment Text Char"/>
    <w:basedOn w:val="DefaultParagraphFont"/>
    <w:link w:val="CommentText"/>
    <w:uiPriority w:val="99"/>
    <w:rsid w:val="00935A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2823</Characters>
  <Application>Microsoft Office Word</Application>
  <DocSecurity>0</DocSecurity>
  <Lines>23</Lines>
  <Paragraphs>6</Paragraphs>
  <ScaleCrop>false</ScaleCrop>
  <Company>UCSD</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Irene Su</dc:creator>
  <cp:keywords/>
  <dc:description/>
  <cp:lastModifiedBy>H. Irene Su</cp:lastModifiedBy>
  <cp:revision>1</cp:revision>
  <dcterms:created xsi:type="dcterms:W3CDTF">2020-03-21T19:28:00Z</dcterms:created>
  <dcterms:modified xsi:type="dcterms:W3CDTF">2020-03-21T19:31:00Z</dcterms:modified>
</cp:coreProperties>
</file>