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3DA18" w14:textId="04AA7378" w:rsidR="001A688B" w:rsidRPr="002777BF" w:rsidRDefault="009B07A9" w:rsidP="00CF5835">
      <w:pPr>
        <w:spacing w:line="480" w:lineRule="auto"/>
        <w:rPr>
          <w:rFonts w:ascii="Times New Roman" w:hAnsi="Times New Roman" w:cs="Times New Roman"/>
        </w:rPr>
      </w:pPr>
      <w:r w:rsidRPr="002777BF">
        <w:rPr>
          <w:rFonts w:ascii="Times New Roman" w:hAnsi="Times New Roman" w:cs="Times New Roman"/>
        </w:rPr>
        <w:t>Supplemental Table 1:</w:t>
      </w:r>
      <w:r w:rsidR="00CF5835" w:rsidRPr="002777BF">
        <w:rPr>
          <w:rFonts w:ascii="Times New Roman" w:hAnsi="Times New Roman" w:cs="Times New Roman"/>
        </w:rPr>
        <w:t xml:space="preserve"> Mitochondrial respiration measures determine</w:t>
      </w:r>
      <w:r w:rsidR="0000042B">
        <w:rPr>
          <w:rFonts w:ascii="Times New Roman" w:hAnsi="Times New Roman" w:cs="Times New Roman"/>
        </w:rPr>
        <w:t>d</w:t>
      </w:r>
      <w:r w:rsidR="00CF5835" w:rsidRPr="002777BF">
        <w:rPr>
          <w:rFonts w:ascii="Times New Roman" w:hAnsi="Times New Roman" w:cs="Times New Roman"/>
        </w:rPr>
        <w:t xml:space="preserve"> using </w:t>
      </w:r>
      <w:proofErr w:type="spellStart"/>
      <w:r w:rsidR="00CF5835" w:rsidRPr="002777BF">
        <w:rPr>
          <w:rFonts w:ascii="Times New Roman" w:hAnsi="Times New Roman" w:cs="Times New Roman"/>
        </w:rPr>
        <w:t>OroBors</w:t>
      </w:r>
      <w:proofErr w:type="spellEnd"/>
      <w:r w:rsidR="00CF5835" w:rsidRPr="002777BF">
        <w:rPr>
          <w:rFonts w:ascii="Times New Roman" w:hAnsi="Times New Roman" w:cs="Times New Roman"/>
        </w:rPr>
        <w:t xml:space="preserve"> high resolution respirometry</w:t>
      </w:r>
      <w:r w:rsidR="0000042B">
        <w:rPr>
          <w:rFonts w:ascii="Times New Roman" w:hAnsi="Times New Roman" w:cs="Times New Roman"/>
        </w:rPr>
        <w:t xml:space="preserve"> Protocol 1. Since all </w:t>
      </w:r>
      <w:proofErr w:type="spellStart"/>
      <w:r w:rsidR="0000042B">
        <w:rPr>
          <w:rFonts w:ascii="Times New Roman" w:hAnsi="Times New Roman" w:cs="Times New Roman"/>
        </w:rPr>
        <w:t>OroBoros</w:t>
      </w:r>
      <w:proofErr w:type="spellEnd"/>
      <w:r w:rsidR="0000042B">
        <w:rPr>
          <w:rFonts w:ascii="Times New Roman" w:hAnsi="Times New Roman" w:cs="Times New Roman"/>
        </w:rPr>
        <w:t xml:space="preserve"> measurements originate from the same muscle biopsy sample, these are presented as technical replicates</w:t>
      </w:r>
      <w:r w:rsidR="00214E42">
        <w:rPr>
          <w:rFonts w:ascii="Times New Roman" w:hAnsi="Times New Roman" w:cs="Times New Roman"/>
        </w:rPr>
        <w:t xml:space="preserve"> (with the exception of State 4</w:t>
      </w:r>
      <w:r w:rsidR="00214E42" w:rsidRPr="00214E42">
        <w:rPr>
          <w:rFonts w:ascii="Times New Roman" w:hAnsi="Times New Roman" w:cs="Times New Roman"/>
          <w:vertAlign w:val="subscript"/>
        </w:rPr>
        <w:t>o</w:t>
      </w:r>
      <w:r w:rsidR="00214E42">
        <w:rPr>
          <w:rFonts w:ascii="Times New Roman" w:hAnsi="Times New Roman" w:cs="Times New Roman"/>
        </w:rPr>
        <w:t>)</w:t>
      </w:r>
      <w:r w:rsidR="0000042B">
        <w:rPr>
          <w:rFonts w:ascii="Times New Roman" w:hAnsi="Times New Roman" w:cs="Times New Roman"/>
        </w:rPr>
        <w:t>.</w:t>
      </w:r>
      <w:r w:rsidR="00CF5835" w:rsidRPr="002777BF">
        <w:rPr>
          <w:rFonts w:ascii="Times New Roman" w:hAnsi="Times New Roman" w:cs="Times New Roman"/>
        </w:rPr>
        <w:t xml:space="preserve">  All outcomes have units of </w:t>
      </w:r>
      <w:r w:rsidR="00CF5835" w:rsidRPr="002777BF">
        <w:rPr>
          <w:rFonts w:ascii="Times New Roman" w:hAnsi="Times New Roman" w:cs="Times New Roman"/>
          <w:color w:val="000000"/>
          <w:spacing w:val="-4"/>
          <w:kern w:val="1"/>
        </w:rPr>
        <w:t>(</w:t>
      </w:r>
      <w:proofErr w:type="spellStart"/>
      <w:r w:rsidR="00CF5835" w:rsidRPr="002777BF">
        <w:rPr>
          <w:rFonts w:ascii="Times New Roman" w:hAnsi="Times New Roman" w:cs="Times New Roman"/>
          <w:color w:val="000000"/>
          <w:spacing w:val="-4"/>
          <w:kern w:val="1"/>
        </w:rPr>
        <w:t>pmol</w:t>
      </w:r>
      <w:proofErr w:type="spellEnd"/>
      <w:r w:rsidR="0064631C">
        <w:rPr>
          <w:rFonts w:ascii="Times New Roman" w:hAnsi="Times New Roman" w:cs="Times New Roman"/>
          <w:color w:val="000000"/>
          <w:spacing w:val="-4"/>
          <w:kern w:val="1"/>
        </w:rPr>
        <w:t xml:space="preserve"> O</w:t>
      </w:r>
      <w:r w:rsidR="0064631C" w:rsidRPr="0064631C">
        <w:rPr>
          <w:rFonts w:ascii="Times New Roman" w:hAnsi="Times New Roman" w:cs="Times New Roman"/>
          <w:color w:val="000000"/>
          <w:spacing w:val="-4"/>
          <w:kern w:val="1"/>
          <w:vertAlign w:val="subscript"/>
        </w:rPr>
        <w:t>2</w:t>
      </w:r>
      <w:r w:rsidR="00CF5835" w:rsidRPr="002777BF">
        <w:rPr>
          <w:rFonts w:ascii="Times New Roman" w:hAnsi="Times New Roman" w:cs="Times New Roman"/>
          <w:color w:val="000000"/>
          <w:spacing w:val="-4"/>
          <w:kern w:val="1"/>
        </w:rPr>
        <w:t>/sec/mg tissue)</w:t>
      </w:r>
      <w:r w:rsidR="00CF5835" w:rsidRPr="002777BF">
        <w:rPr>
          <w:rFonts w:ascii="Times New Roman" w:hAnsi="Times New Roman" w:cs="Times New Roman"/>
        </w:rPr>
        <w:t>.</w:t>
      </w:r>
    </w:p>
    <w:p w14:paraId="56A5BCFE" w14:textId="2F504207" w:rsidR="009B07A9" w:rsidRPr="002777BF" w:rsidRDefault="009B07A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PlainTable4"/>
        <w:tblpPr w:leftFromText="180" w:rightFromText="180" w:vertAnchor="page" w:horzAnchor="margin" w:tblpY="3544"/>
        <w:tblW w:w="12870" w:type="dxa"/>
        <w:tblLayout w:type="fixed"/>
        <w:tblLook w:val="04A0" w:firstRow="1" w:lastRow="0" w:firstColumn="1" w:lastColumn="0" w:noHBand="0" w:noVBand="1"/>
      </w:tblPr>
      <w:tblGrid>
        <w:gridCol w:w="1703"/>
        <w:gridCol w:w="1312"/>
        <w:gridCol w:w="1323"/>
        <w:gridCol w:w="1323"/>
        <w:gridCol w:w="1235"/>
        <w:gridCol w:w="1323"/>
        <w:gridCol w:w="1591"/>
        <w:gridCol w:w="720"/>
        <w:gridCol w:w="1170"/>
        <w:gridCol w:w="1170"/>
      </w:tblGrid>
      <w:tr w:rsidR="00CF5835" w:rsidRPr="002777BF" w14:paraId="43E7CA4E" w14:textId="3B1D0A5E" w:rsidTr="003D7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shd w:val="clear" w:color="auto" w:fill="auto"/>
          </w:tcPr>
          <w:p w14:paraId="2DCFD186" w14:textId="77777777" w:rsidR="00CF5835" w:rsidRPr="002777BF" w:rsidRDefault="00CF5835" w:rsidP="00C10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14:paraId="18A5BE4D" w14:textId="0C92BA01" w:rsidR="00CF5835" w:rsidRPr="002777BF" w:rsidRDefault="00CF5835" w:rsidP="00C102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77BF">
              <w:rPr>
                <w:rFonts w:ascii="Times New Roman" w:hAnsi="Times New Roman" w:cs="Times New Roman"/>
                <w:sz w:val="22"/>
                <w:szCs w:val="22"/>
              </w:rPr>
              <w:t>PreBR</w:t>
            </w:r>
            <w:proofErr w:type="spellEnd"/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 w14:paraId="2982416D" w14:textId="64FC8A6C" w:rsidR="00CF5835" w:rsidRPr="002777BF" w:rsidRDefault="00CF5835" w:rsidP="00C102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77BF">
              <w:rPr>
                <w:rFonts w:ascii="Times New Roman" w:hAnsi="Times New Roman" w:cs="Times New Roman"/>
                <w:sz w:val="22"/>
                <w:szCs w:val="22"/>
              </w:rPr>
              <w:t>PostBR</w:t>
            </w:r>
            <w:proofErr w:type="spellEnd"/>
          </w:p>
        </w:tc>
        <w:tc>
          <w:tcPr>
            <w:tcW w:w="29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4C7F2" w14:textId="685E04CC" w:rsidR="00CF5835" w:rsidRPr="002777BF" w:rsidRDefault="00CF5835" w:rsidP="00C102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7BF">
              <w:rPr>
                <w:rFonts w:ascii="Times New Roman" w:hAnsi="Times New Roman" w:cs="Times New Roman"/>
                <w:sz w:val="22"/>
                <w:szCs w:val="22"/>
              </w:rPr>
              <w:t>Post-Rehab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238B3E" w14:textId="2A31591F" w:rsidR="00CF5835" w:rsidRPr="002777BF" w:rsidRDefault="00CF5835" w:rsidP="00C102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7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p-values</w:t>
            </w:r>
          </w:p>
        </w:tc>
      </w:tr>
      <w:tr w:rsidR="00C102CB" w:rsidRPr="002777BF" w14:paraId="7638C9EA" w14:textId="77777777" w:rsidTr="003D7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bottom w:val="double" w:sz="4" w:space="0" w:color="auto"/>
            </w:tcBorders>
            <w:shd w:val="clear" w:color="auto" w:fill="auto"/>
          </w:tcPr>
          <w:p w14:paraId="35548BC1" w14:textId="77777777" w:rsidR="00CF5835" w:rsidRPr="002777BF" w:rsidRDefault="00CF5835" w:rsidP="00C102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823260" w14:textId="67F5F56E" w:rsidR="00CF5835" w:rsidRPr="002777BF" w:rsidRDefault="00CF5835" w:rsidP="00C10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77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</w:t>
            </w:r>
          </w:p>
        </w:tc>
        <w:tc>
          <w:tcPr>
            <w:tcW w:w="13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D33663" w14:textId="200E5ABC" w:rsidR="00CF5835" w:rsidRPr="002777BF" w:rsidRDefault="00CF5835" w:rsidP="00C10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77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LEU</w:t>
            </w:r>
          </w:p>
        </w:tc>
        <w:tc>
          <w:tcPr>
            <w:tcW w:w="13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DA3F91" w14:textId="569B07BE" w:rsidR="00CF5835" w:rsidRPr="002777BF" w:rsidRDefault="00CF5835" w:rsidP="00C10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77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C58214" w14:textId="5A416F48" w:rsidR="00CF5835" w:rsidRPr="002777BF" w:rsidRDefault="00CF5835" w:rsidP="00C10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77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LEU</w:t>
            </w:r>
          </w:p>
        </w:tc>
        <w:tc>
          <w:tcPr>
            <w:tcW w:w="13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1C2264" w14:textId="2EB3EB6D" w:rsidR="00CF5835" w:rsidRPr="002777BF" w:rsidRDefault="00CF5835" w:rsidP="00C10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77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</w:t>
            </w:r>
          </w:p>
        </w:tc>
        <w:tc>
          <w:tcPr>
            <w:tcW w:w="159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2A19" w14:textId="7AA01C2D" w:rsidR="00CF5835" w:rsidRPr="002777BF" w:rsidRDefault="00CF5835" w:rsidP="00C10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77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LEU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3BDDC5" w14:textId="601BD782" w:rsidR="00CF5835" w:rsidRPr="002777BF" w:rsidRDefault="00CF5835" w:rsidP="00C10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7BF">
              <w:rPr>
                <w:rFonts w:ascii="Times New Roman" w:hAnsi="Times New Roman" w:cs="Times New Roman"/>
                <w:sz w:val="22"/>
                <w:szCs w:val="22"/>
              </w:rPr>
              <w:t>Time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B79C7F" w14:textId="27278ECA" w:rsidR="00CF5835" w:rsidRPr="002777BF" w:rsidRDefault="00CF5835" w:rsidP="00C10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7BF">
              <w:rPr>
                <w:rFonts w:ascii="Times New Roman" w:hAnsi="Times New Roman" w:cs="Times New Roman"/>
                <w:sz w:val="22"/>
                <w:szCs w:val="22"/>
              </w:rPr>
              <w:t>Treatment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FB6403" w14:textId="339D98D3" w:rsidR="00CF5835" w:rsidRPr="002777BF" w:rsidRDefault="00CF5835" w:rsidP="00C10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7BF">
              <w:rPr>
                <w:rFonts w:ascii="Times New Roman" w:hAnsi="Times New Roman" w:cs="Times New Roman"/>
                <w:sz w:val="22"/>
                <w:szCs w:val="22"/>
              </w:rPr>
              <w:t xml:space="preserve">Time x </w:t>
            </w:r>
            <w:proofErr w:type="spellStart"/>
            <w:r w:rsidRPr="002777BF">
              <w:rPr>
                <w:rFonts w:ascii="Times New Roman" w:hAnsi="Times New Roman" w:cs="Times New Roman"/>
                <w:sz w:val="22"/>
                <w:szCs w:val="22"/>
              </w:rPr>
              <w:t>Trt</w:t>
            </w:r>
            <w:proofErr w:type="spellEnd"/>
          </w:p>
        </w:tc>
      </w:tr>
      <w:tr w:rsidR="00C102CB" w:rsidRPr="002777BF" w14:paraId="3AE690F3" w14:textId="1B9F8B4C" w:rsidTr="00D62096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7A9D9" w14:textId="1EA76FF3" w:rsidR="00CF5835" w:rsidRPr="002777BF" w:rsidRDefault="00CF5835" w:rsidP="00C102CB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777B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State 2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D7401B" w14:textId="40D83A12" w:rsidR="00CF5835" w:rsidRPr="002777BF" w:rsidRDefault="0000042B" w:rsidP="00C10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16.2</w:t>
            </w:r>
            <w:r w:rsidR="00CF5835" w:rsidRPr="002777BF">
              <w:rPr>
                <w:rFonts w:ascii="Times New Roman" w:hAnsi="Times New Roman" w:cs="Times New Roman"/>
                <w:sz w:val="22"/>
                <w:szCs w:val="22"/>
              </w:rPr>
              <w:t xml:space="preserve"> 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38B9F8E" w14:textId="4C09625D" w:rsidR="00CF5835" w:rsidRPr="002777BF" w:rsidRDefault="00CF5835" w:rsidP="00C10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7B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00042B">
              <w:rPr>
                <w:rFonts w:ascii="Times New Roman" w:hAnsi="Times New Roman" w:cs="Times New Roman"/>
                <w:sz w:val="22"/>
                <w:szCs w:val="22"/>
              </w:rPr>
              <w:t>.8</w:t>
            </w:r>
            <w:r w:rsidRPr="002777BF">
              <w:rPr>
                <w:rFonts w:ascii="Times New Roman" w:hAnsi="Times New Roman" w:cs="Times New Roman"/>
                <w:sz w:val="22"/>
                <w:szCs w:val="22"/>
              </w:rPr>
              <w:t xml:space="preserve"> ± 2.</w:t>
            </w:r>
            <w:r w:rsidR="0000042B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C33E68D" w14:textId="6C6D9B03" w:rsidR="00CF5835" w:rsidRPr="002777BF" w:rsidRDefault="00CF5835" w:rsidP="00C10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7BF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  <w:r w:rsidR="005969C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777BF">
              <w:rPr>
                <w:rFonts w:ascii="Times New Roman" w:hAnsi="Times New Roman" w:cs="Times New Roman"/>
                <w:sz w:val="22"/>
                <w:szCs w:val="22"/>
              </w:rPr>
              <w:t xml:space="preserve"> ± 2</w:t>
            </w:r>
            <w:r w:rsidR="005969C3">
              <w:rPr>
                <w:rFonts w:ascii="Times New Roman" w:hAnsi="Times New Roman" w:cs="Times New Roman"/>
                <w:sz w:val="22"/>
                <w:szCs w:val="22"/>
              </w:rPr>
              <w:t>.06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7E74ED7D" w14:textId="424FF1FE" w:rsidR="00CF5835" w:rsidRPr="002777BF" w:rsidRDefault="00CF5835" w:rsidP="00C10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7BF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  <w:r w:rsidR="005969C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777BF">
              <w:rPr>
                <w:rFonts w:ascii="Times New Roman" w:hAnsi="Times New Roman" w:cs="Times New Roman"/>
                <w:sz w:val="22"/>
                <w:szCs w:val="22"/>
              </w:rPr>
              <w:t xml:space="preserve"> ± 2.</w:t>
            </w:r>
            <w:r w:rsidR="005969C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39BD204" w14:textId="472DB2B3" w:rsidR="00CF5835" w:rsidRPr="002777BF" w:rsidRDefault="00CF5835" w:rsidP="00C10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7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69C3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r w:rsidRPr="002777BF">
              <w:rPr>
                <w:rFonts w:ascii="Times New Roman" w:hAnsi="Times New Roman" w:cs="Times New Roman"/>
                <w:sz w:val="22"/>
                <w:szCs w:val="22"/>
              </w:rPr>
              <w:t xml:space="preserve"> ± </w:t>
            </w:r>
            <w:r w:rsidR="005969C3">
              <w:rPr>
                <w:rFonts w:ascii="Times New Roman" w:hAnsi="Times New Roman" w:cs="Times New Roman"/>
                <w:sz w:val="22"/>
                <w:szCs w:val="22"/>
              </w:rPr>
              <w:t>3.34</w:t>
            </w:r>
          </w:p>
        </w:tc>
        <w:tc>
          <w:tcPr>
            <w:tcW w:w="1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C7CB9E" w14:textId="44BB6E9E" w:rsidR="00CF5835" w:rsidRPr="002777BF" w:rsidRDefault="00CF5835" w:rsidP="00C10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7BF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  <w:r w:rsidR="005969C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777BF">
              <w:rPr>
                <w:rFonts w:ascii="Times New Roman" w:hAnsi="Times New Roman" w:cs="Times New Roman"/>
                <w:sz w:val="22"/>
                <w:szCs w:val="22"/>
              </w:rPr>
              <w:t xml:space="preserve"> ± </w:t>
            </w:r>
            <w:r w:rsidR="005969C3">
              <w:rPr>
                <w:rFonts w:ascii="Times New Roman" w:hAnsi="Times New Roman" w:cs="Times New Roman"/>
                <w:sz w:val="22"/>
                <w:szCs w:val="22"/>
              </w:rPr>
              <w:t>3.38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6912DC" w14:textId="3EB67898" w:rsidR="00CF5835" w:rsidRPr="002777BF" w:rsidRDefault="0000042B" w:rsidP="00C10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F94BCDF" w14:textId="029626B9" w:rsidR="00CF5835" w:rsidRPr="002777BF" w:rsidRDefault="0000042B" w:rsidP="00C10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2AF920A" w14:textId="76F48CCC" w:rsidR="00CF5835" w:rsidRPr="002777BF" w:rsidRDefault="0000042B" w:rsidP="00C10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</w:tr>
      <w:tr w:rsidR="00C102CB" w:rsidRPr="002777BF" w14:paraId="5760FCC7" w14:textId="348262A6" w:rsidTr="00000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38C06" w14:textId="40E986A6" w:rsidR="00CF5835" w:rsidRPr="002777BF" w:rsidRDefault="00CF5835" w:rsidP="00C102CB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777B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State 3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277D93" w14:textId="5D9B24A1" w:rsidR="00CF5835" w:rsidRPr="002777BF" w:rsidRDefault="00CF5835" w:rsidP="00C10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7BF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  <w:r w:rsidR="00B248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777BF">
              <w:rPr>
                <w:rFonts w:ascii="Times New Roman" w:hAnsi="Times New Roman" w:cs="Times New Roman"/>
                <w:sz w:val="22"/>
                <w:szCs w:val="22"/>
              </w:rPr>
              <w:t xml:space="preserve"> ± </w:t>
            </w:r>
            <w:r w:rsidR="00B24892">
              <w:rPr>
                <w:rFonts w:ascii="Times New Roman" w:hAnsi="Times New Roman" w:cs="Times New Roman"/>
                <w:sz w:val="22"/>
                <w:szCs w:val="22"/>
              </w:rPr>
              <w:t>4.24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22FA28A" w14:textId="023712CE" w:rsidR="00CF5835" w:rsidRPr="002777BF" w:rsidRDefault="00CF5835" w:rsidP="00C10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7BF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  <w:r w:rsidR="00B248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777BF">
              <w:rPr>
                <w:rFonts w:ascii="Times New Roman" w:hAnsi="Times New Roman" w:cs="Times New Roman"/>
                <w:sz w:val="22"/>
                <w:szCs w:val="22"/>
              </w:rPr>
              <w:t xml:space="preserve"> ± 4.</w:t>
            </w:r>
            <w:r w:rsidR="00B24892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0366735" w14:textId="6BDAEC40" w:rsidR="00CF5835" w:rsidRPr="002777BF" w:rsidRDefault="00CF5835" w:rsidP="00C10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7BF">
              <w:rPr>
                <w:rFonts w:ascii="Times New Roman" w:hAnsi="Times New Roman" w:cs="Times New Roman"/>
                <w:sz w:val="22"/>
                <w:szCs w:val="22"/>
              </w:rPr>
              <w:t xml:space="preserve">17.4 ± </w:t>
            </w:r>
            <w:r w:rsidR="00B24892">
              <w:rPr>
                <w:rFonts w:ascii="Times New Roman" w:hAnsi="Times New Roman" w:cs="Times New Roman"/>
                <w:sz w:val="22"/>
                <w:szCs w:val="22"/>
              </w:rPr>
              <w:t>2.95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687B523C" w14:textId="65721580" w:rsidR="00CF5835" w:rsidRPr="002777BF" w:rsidRDefault="00CF5835" w:rsidP="00C10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7BF">
              <w:rPr>
                <w:rFonts w:ascii="Times New Roman" w:hAnsi="Times New Roman" w:cs="Times New Roman"/>
                <w:sz w:val="22"/>
                <w:szCs w:val="22"/>
              </w:rPr>
              <w:t xml:space="preserve">21.4 ± </w:t>
            </w:r>
            <w:r w:rsidR="00B24892">
              <w:rPr>
                <w:rFonts w:ascii="Times New Roman" w:hAnsi="Times New Roman" w:cs="Times New Roman"/>
                <w:sz w:val="22"/>
                <w:szCs w:val="22"/>
              </w:rPr>
              <w:t>4.73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064631A" w14:textId="010DD53D" w:rsidR="00CF5835" w:rsidRPr="002777BF" w:rsidRDefault="00CF5835" w:rsidP="00C10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7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24892">
              <w:rPr>
                <w:rFonts w:ascii="Times New Roman" w:hAnsi="Times New Roman" w:cs="Times New Roman"/>
                <w:sz w:val="22"/>
                <w:szCs w:val="22"/>
              </w:rPr>
              <w:t>8.5</w:t>
            </w:r>
            <w:r w:rsidRPr="002777BF">
              <w:rPr>
                <w:rFonts w:ascii="Times New Roman" w:hAnsi="Times New Roman" w:cs="Times New Roman"/>
                <w:sz w:val="22"/>
                <w:szCs w:val="22"/>
              </w:rPr>
              <w:t xml:space="preserve"> ± </w:t>
            </w:r>
            <w:r w:rsidR="00B24892">
              <w:rPr>
                <w:rFonts w:ascii="Times New Roman" w:hAnsi="Times New Roman" w:cs="Times New Roman"/>
                <w:sz w:val="22"/>
                <w:szCs w:val="22"/>
              </w:rPr>
              <w:t>2.95</w:t>
            </w:r>
          </w:p>
        </w:tc>
        <w:tc>
          <w:tcPr>
            <w:tcW w:w="1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EBA49" w14:textId="7F69B210" w:rsidR="00CF5835" w:rsidRPr="002777BF" w:rsidRDefault="00CF5835" w:rsidP="00C10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7B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24892">
              <w:rPr>
                <w:rFonts w:ascii="Times New Roman" w:hAnsi="Times New Roman" w:cs="Times New Roman"/>
                <w:sz w:val="22"/>
                <w:szCs w:val="22"/>
              </w:rPr>
              <w:t>5.6</w:t>
            </w:r>
            <w:r w:rsidRPr="002777BF">
              <w:rPr>
                <w:rFonts w:ascii="Times New Roman" w:hAnsi="Times New Roman" w:cs="Times New Roman"/>
                <w:sz w:val="22"/>
                <w:szCs w:val="22"/>
              </w:rPr>
              <w:t xml:space="preserve"> ± 4.</w:t>
            </w:r>
            <w:r w:rsidR="00B24892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45800D" w14:textId="0E4B9489" w:rsidR="00CF5835" w:rsidRPr="002777BF" w:rsidRDefault="00CF5835" w:rsidP="00C10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7BF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B24892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249CAB0" w14:textId="4E2B1697" w:rsidR="00CF5835" w:rsidRPr="002777BF" w:rsidRDefault="00CF5835" w:rsidP="00C10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7BF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B24892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90F4C0E" w14:textId="5E79B4D5" w:rsidR="00CF5835" w:rsidRPr="00B24892" w:rsidRDefault="00CF5835" w:rsidP="00C10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4892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B24892" w:rsidRPr="00B2489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C102CB" w:rsidRPr="002777BF" w14:paraId="42B26FCD" w14:textId="77777777" w:rsidTr="00214E42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AF83A" w14:textId="5EEFF0D8" w:rsidR="00CF5835" w:rsidRPr="002777BF" w:rsidRDefault="00CF5835" w:rsidP="00C102CB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777B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Oxidative </w:t>
            </w:r>
            <w:r w:rsidR="00541982" w:rsidRPr="002777B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Phosphorylation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81B6B0" w14:textId="63909753" w:rsidR="00CF5835" w:rsidRPr="002777BF" w:rsidRDefault="006962B2" w:rsidP="00C10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35.3</w:t>
            </w:r>
            <w:r w:rsidR="00CF5835" w:rsidRPr="002777BF">
              <w:rPr>
                <w:rFonts w:ascii="Times New Roman" w:hAnsi="Times New Roman" w:cs="Times New Roman"/>
                <w:sz w:val="22"/>
                <w:szCs w:val="22"/>
              </w:rPr>
              <w:t xml:space="preserve"> 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5.57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74A742D" w14:textId="4A920610" w:rsidR="00CF5835" w:rsidRPr="002777BF" w:rsidRDefault="006962B2" w:rsidP="00C10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27.9</w:t>
            </w:r>
            <w:r w:rsidR="00CF5835" w:rsidRPr="002777BF">
              <w:rPr>
                <w:rFonts w:ascii="Times New Roman" w:hAnsi="Times New Roman" w:cs="Times New Roman"/>
                <w:sz w:val="22"/>
                <w:szCs w:val="22"/>
              </w:rPr>
              <w:t xml:space="preserve"> 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5.69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E57AE1B" w14:textId="1C3E2579" w:rsidR="00CF5835" w:rsidRPr="002777BF" w:rsidRDefault="006962B2" w:rsidP="00C10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29.2</w:t>
            </w:r>
            <w:r w:rsidR="00CF5835" w:rsidRPr="002777BF">
              <w:rPr>
                <w:rFonts w:ascii="Times New Roman" w:hAnsi="Times New Roman" w:cs="Times New Roman"/>
                <w:sz w:val="22"/>
                <w:szCs w:val="22"/>
              </w:rPr>
              <w:t xml:space="preserve"> 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3.78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54BEE76C" w14:textId="299BB8FF" w:rsidR="00CF5835" w:rsidRPr="002777BF" w:rsidRDefault="006962B2" w:rsidP="00C10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34.9</w:t>
            </w:r>
            <w:r w:rsidR="00CF5835" w:rsidRPr="002777BF">
              <w:rPr>
                <w:rFonts w:ascii="Times New Roman" w:hAnsi="Times New Roman" w:cs="Times New Roman"/>
                <w:sz w:val="22"/>
                <w:szCs w:val="22"/>
              </w:rPr>
              <w:t xml:space="preserve"> 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5.71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AC0FB1E" w14:textId="5057FB3C" w:rsidR="00CF5835" w:rsidRPr="002777BF" w:rsidRDefault="006962B2" w:rsidP="00C10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28.4</w:t>
            </w:r>
            <w:r w:rsidR="00CF5835" w:rsidRPr="002777BF">
              <w:rPr>
                <w:rFonts w:ascii="Times New Roman" w:hAnsi="Times New Roman" w:cs="Times New Roman"/>
                <w:sz w:val="22"/>
                <w:szCs w:val="22"/>
              </w:rPr>
              <w:t xml:space="preserve"> 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5.81</w:t>
            </w:r>
          </w:p>
        </w:tc>
        <w:tc>
          <w:tcPr>
            <w:tcW w:w="1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6E826C" w14:textId="0C0A7B8A" w:rsidR="00CF5835" w:rsidRPr="002777BF" w:rsidRDefault="006962B2" w:rsidP="00C10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39.4</w:t>
            </w:r>
            <w:r w:rsidR="00CF5835" w:rsidRPr="002777BF">
              <w:rPr>
                <w:rFonts w:ascii="Times New Roman" w:hAnsi="Times New Roman" w:cs="Times New Roman"/>
                <w:sz w:val="22"/>
                <w:szCs w:val="22"/>
              </w:rPr>
              <w:t xml:space="preserve"> 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4.12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8E1883" w14:textId="153CC2C9" w:rsidR="00CF5835" w:rsidRPr="002777BF" w:rsidRDefault="00CF5835" w:rsidP="00C10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7BF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00042B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04F4B09" w14:textId="2E3C7889" w:rsidR="00CF5835" w:rsidRPr="002777BF" w:rsidRDefault="00CF5835" w:rsidP="00C10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7BF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00042B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CFE4BE4" w14:textId="0748A5A2" w:rsidR="00CF5835" w:rsidRPr="0000042B" w:rsidRDefault="00CF5835" w:rsidP="00C10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042B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00042B" w:rsidRPr="0000042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7437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14E42" w:rsidRPr="002777BF" w14:paraId="4D78B07B" w14:textId="77777777" w:rsidTr="00000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A74D" w14:textId="75A83A72" w:rsidR="00214E42" w:rsidRPr="00214E42" w:rsidRDefault="00214E42" w:rsidP="00C102CB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14E4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State 4</w:t>
            </w:r>
            <w:r w:rsidRPr="00214E4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92059" w14:textId="4C830C1F" w:rsidR="00214E42" w:rsidRPr="00214E42" w:rsidRDefault="00214E42" w:rsidP="00C10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4E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14.0 </w:t>
            </w:r>
            <w:r w:rsidRPr="00214E42">
              <w:rPr>
                <w:rFonts w:ascii="Times New Roman" w:hAnsi="Times New Roman" w:cs="Times New Roman"/>
                <w:sz w:val="22"/>
                <w:szCs w:val="22"/>
              </w:rPr>
              <w:t xml:space="preserve">±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2.35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AB4FA" w14:textId="7AA0D91F" w:rsidR="00214E42" w:rsidRPr="00214E42" w:rsidRDefault="00214E42" w:rsidP="00C10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4E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13.5 </w:t>
            </w:r>
            <w:r w:rsidRPr="00214E42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 w:rsidRPr="00214E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3.00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D8899" w14:textId="5A74E776" w:rsidR="00214E42" w:rsidRPr="00214E42" w:rsidRDefault="00214E42" w:rsidP="00C10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4E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11.9 </w:t>
            </w:r>
            <w:r w:rsidRPr="00214E42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 w:rsidRPr="00214E42">
              <w:rPr>
                <w:rFonts w:ascii="Times New Roman" w:hAnsi="Times New Roman" w:cs="Times New Roman"/>
                <w:bCs/>
                <w:sz w:val="22"/>
                <w:szCs w:val="22"/>
              </w:rPr>
              <w:t>1.59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E551C" w14:textId="51E090C7" w:rsidR="00214E42" w:rsidRPr="00214E42" w:rsidRDefault="00214E42" w:rsidP="00214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4E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14.0 </w:t>
            </w:r>
            <w:r w:rsidRPr="00214E42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 w:rsidRPr="00214E42">
              <w:rPr>
                <w:rFonts w:ascii="Times New Roman" w:hAnsi="Times New Roman" w:cs="Times New Roman"/>
                <w:bCs/>
                <w:sz w:val="22"/>
                <w:szCs w:val="22"/>
              </w:rPr>
              <w:t>2.03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3F301" w14:textId="2A0D6130" w:rsidR="00214E42" w:rsidRPr="00214E42" w:rsidRDefault="00214E42" w:rsidP="00C10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4E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11.3 </w:t>
            </w:r>
            <w:r w:rsidRPr="00214E42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 w:rsidRPr="00214E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2.01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537E" w14:textId="2D98AF0E" w:rsidR="00214E42" w:rsidRPr="00214E42" w:rsidRDefault="00214E42" w:rsidP="00C10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4E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16.4 </w:t>
            </w:r>
            <w:r w:rsidRPr="00214E42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 w:rsidRPr="00214E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3.19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5D26F" w14:textId="3A0621F4" w:rsidR="00214E42" w:rsidRPr="002777BF" w:rsidRDefault="00214E42" w:rsidP="00C10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68EA3" w14:textId="0525430E" w:rsidR="00214E42" w:rsidRPr="002777BF" w:rsidRDefault="00214E42" w:rsidP="00C10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B0AC2" w14:textId="05E5B407" w:rsidR="00214E42" w:rsidRPr="0000042B" w:rsidRDefault="00214E42" w:rsidP="00C10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0.071</w:t>
            </w:r>
          </w:p>
        </w:tc>
      </w:tr>
    </w:tbl>
    <w:p w14:paraId="3501D3A5" w14:textId="232A8815" w:rsidR="009B07A9" w:rsidRPr="002777BF" w:rsidRDefault="009B07A9">
      <w:pPr>
        <w:rPr>
          <w:rFonts w:ascii="Times New Roman" w:hAnsi="Times New Roman" w:cs="Times New Roman"/>
          <w:sz w:val="22"/>
          <w:szCs w:val="22"/>
        </w:rPr>
      </w:pPr>
    </w:p>
    <w:p w14:paraId="31B3643F" w14:textId="4A199DD4" w:rsidR="00EA70C3" w:rsidRPr="002777BF" w:rsidRDefault="00EA70C3">
      <w:pPr>
        <w:rPr>
          <w:rFonts w:ascii="Times New Roman" w:hAnsi="Times New Roman" w:cs="Times New Roman"/>
          <w:sz w:val="22"/>
          <w:szCs w:val="22"/>
        </w:rPr>
      </w:pPr>
    </w:p>
    <w:p w14:paraId="7F455C52" w14:textId="10B2BF85" w:rsidR="00EA70C3" w:rsidRPr="002777BF" w:rsidRDefault="00EA70C3" w:rsidP="002777BF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sectPr w:rsidR="00EA70C3" w:rsidRPr="002777BF" w:rsidSect="009B07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A9"/>
    <w:rsid w:val="0000042B"/>
    <w:rsid w:val="00036D3E"/>
    <w:rsid w:val="001A688B"/>
    <w:rsid w:val="001B11B4"/>
    <w:rsid w:val="00214E42"/>
    <w:rsid w:val="00265FCF"/>
    <w:rsid w:val="002777BF"/>
    <w:rsid w:val="002C65A6"/>
    <w:rsid w:val="002E5C4D"/>
    <w:rsid w:val="00315DD6"/>
    <w:rsid w:val="00387429"/>
    <w:rsid w:val="003D702B"/>
    <w:rsid w:val="00411197"/>
    <w:rsid w:val="0051740B"/>
    <w:rsid w:val="00541982"/>
    <w:rsid w:val="005969C3"/>
    <w:rsid w:val="0064631C"/>
    <w:rsid w:val="006962B2"/>
    <w:rsid w:val="006C437A"/>
    <w:rsid w:val="007917C9"/>
    <w:rsid w:val="008F7403"/>
    <w:rsid w:val="009B07A9"/>
    <w:rsid w:val="00A93820"/>
    <w:rsid w:val="00AB0861"/>
    <w:rsid w:val="00B24892"/>
    <w:rsid w:val="00B9117D"/>
    <w:rsid w:val="00BB7679"/>
    <w:rsid w:val="00C102CB"/>
    <w:rsid w:val="00C13897"/>
    <w:rsid w:val="00C563E8"/>
    <w:rsid w:val="00C57CCD"/>
    <w:rsid w:val="00CD710D"/>
    <w:rsid w:val="00CF5835"/>
    <w:rsid w:val="00D14B78"/>
    <w:rsid w:val="00D62096"/>
    <w:rsid w:val="00E116F2"/>
    <w:rsid w:val="00E7437B"/>
    <w:rsid w:val="00E90B73"/>
    <w:rsid w:val="00EA70C3"/>
    <w:rsid w:val="00F2157F"/>
    <w:rsid w:val="00F6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CF4270"/>
  <w15:chartTrackingRefBased/>
  <w15:docId w15:val="{5D0A25EF-25B3-EE47-8F94-CEA88A90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4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2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B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F583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83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EA7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Lantz, Emily J.</dc:creator>
  <cp:keywords/>
  <dc:description/>
  <cp:lastModifiedBy>Lantz, Emily J.</cp:lastModifiedBy>
  <cp:revision>8</cp:revision>
  <dcterms:created xsi:type="dcterms:W3CDTF">2020-03-17T20:29:00Z</dcterms:created>
  <dcterms:modified xsi:type="dcterms:W3CDTF">2020-06-24T02:12:00Z</dcterms:modified>
</cp:coreProperties>
</file>